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C42B" w14:textId="38B35BC5" w:rsidR="002F21C5" w:rsidRPr="007054E3" w:rsidRDefault="002F21C5" w:rsidP="007054E3">
      <w:pPr>
        <w:pStyle w:val="ListeParagraf"/>
        <w:numPr>
          <w:ilvl w:val="0"/>
          <w:numId w:val="1"/>
        </w:numPr>
        <w:ind w:left="426"/>
        <w:jc w:val="both"/>
        <w:rPr>
          <w:rFonts w:ascii="Times New Roman" w:hAnsi="Times New Roman" w:cs="Times New Roman"/>
          <w:b/>
          <w:bCs/>
        </w:rPr>
      </w:pPr>
      <w:r w:rsidRPr="007054E3">
        <w:rPr>
          <w:rFonts w:ascii="Times New Roman" w:hAnsi="Times New Roman" w:cs="Times New Roman"/>
          <w:b/>
          <w:bCs/>
        </w:rPr>
        <w:t>AMAÇ VE KAPSAM</w:t>
      </w:r>
    </w:p>
    <w:p w14:paraId="3CEAA399" w14:textId="77777777" w:rsidR="002F21C5" w:rsidRPr="007054E3" w:rsidRDefault="002F21C5" w:rsidP="002F21C5">
      <w:pPr>
        <w:jc w:val="both"/>
        <w:rPr>
          <w:rFonts w:ascii="Times New Roman" w:hAnsi="Times New Roman" w:cs="Times New Roman"/>
        </w:rPr>
      </w:pPr>
      <w:r w:rsidRPr="007054E3">
        <w:rPr>
          <w:rFonts w:ascii="Times New Roman" w:hAnsi="Times New Roman" w:cs="Times New Roman"/>
        </w:rPr>
        <w:t>Bu talimat Ankara Teknopark Teknoloji Geliştirme Bölgesinde faaliyet gösteren girişimcilerin ve çalışanların Toplantı ve Konferans Salonları Kullanımı açısından uymaları gereken asgari gereklilikleri tanımlamaktadır. Tüm personeli kapsar.</w:t>
      </w:r>
    </w:p>
    <w:p w14:paraId="6F154AFC" w14:textId="591764C8" w:rsidR="002F21C5" w:rsidRPr="007054E3" w:rsidRDefault="002F21C5" w:rsidP="007054E3">
      <w:pPr>
        <w:pStyle w:val="ListeParagraf"/>
        <w:numPr>
          <w:ilvl w:val="0"/>
          <w:numId w:val="1"/>
        </w:numPr>
        <w:ind w:left="426"/>
        <w:jc w:val="both"/>
        <w:rPr>
          <w:rFonts w:ascii="Times New Roman" w:hAnsi="Times New Roman" w:cs="Times New Roman"/>
          <w:b/>
          <w:bCs/>
        </w:rPr>
      </w:pPr>
      <w:r w:rsidRPr="007054E3">
        <w:rPr>
          <w:rFonts w:ascii="Times New Roman" w:hAnsi="Times New Roman" w:cs="Times New Roman"/>
          <w:b/>
          <w:bCs/>
        </w:rPr>
        <w:t>UYGULAMA</w:t>
      </w:r>
    </w:p>
    <w:p w14:paraId="1EEAA42E" w14:textId="3B36CDF0" w:rsidR="002F21C5" w:rsidRPr="007054E3"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 xml:space="preserve">Teknopark Ankara Yerleşkesindeki Konferans ve Toplantı Salonlarını kullanmak isteyen girişimci Teknopark Ankara Bölge İşletme Yönergesi hükümlerine uygun olarak Yönetici Şirketten kullanım talebinde bulunması gerekir. </w:t>
      </w:r>
    </w:p>
    <w:p w14:paraId="2AA92B4A" w14:textId="78E861D3" w:rsidR="002F21C5" w:rsidRPr="007054E3"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Toplantı ve konferans salonlarının duvarlarına, yere ve portatif sahne üzerinde herhangi bir delme, çakma işlemi yapılması kesinlikle yasaktır.</w:t>
      </w:r>
    </w:p>
    <w:p w14:paraId="36EE80AA" w14:textId="104D89E7" w:rsidR="002F21C5" w:rsidRPr="007054E3"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Toplantı ve konferans salonlarında siyasi propaganda yapılması, yasa ve genel ahlak kurallarına aykırı eylemlerin gerçekleştirilmesi ve/veya tanıtılması kesinlikle yasaktır.</w:t>
      </w:r>
    </w:p>
    <w:p w14:paraId="76CAB7DF" w14:textId="56B0023F" w:rsidR="002F21C5" w:rsidRPr="007054E3"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Yönetici Şirketin izni ve Teknik Birimin yönlendirmesine uygun olarak afiş, bayrak, branda asılabilir. Yönetici Şirketin izni olmadan afiş, bayrak, branda asılamaz.</w:t>
      </w:r>
    </w:p>
    <w:p w14:paraId="59FCD61A" w14:textId="7E8C732C" w:rsidR="002F21C5" w:rsidRPr="007054E3"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 xml:space="preserve">Girişimciden kaynaklanan tüm hasarların giderilmesi sorumluluğu girişimciye aittir. </w:t>
      </w:r>
    </w:p>
    <w:p w14:paraId="53AE9975" w14:textId="4F8A9BCB" w:rsidR="002F21C5" w:rsidRPr="007054E3"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Toplantı odaları, Konferans salonları ve fuaye alanının temiz bırakılması gerekir. Kullanıcının konferans salonu, fuaye alnı ve toplantı odalarını rutin temizlikten fazlasını gerektirecek derecede kirli bırakması durumunda temizlik bedeli girişimciye faturalandırılır.</w:t>
      </w:r>
    </w:p>
    <w:p w14:paraId="6C41FA90" w14:textId="05ADD2DC" w:rsidR="002F21C5" w:rsidRPr="007054E3"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Konferans salonlarında bulunan ses ve ışık sistemleri Yönetici Şirket personeli tarafından kullanılır. Konferans salonu kullanıcısının ses ve ışık sistemlerine müdahalesi yasaktır.</w:t>
      </w:r>
    </w:p>
    <w:p w14:paraId="3A365715" w14:textId="473FF9F0" w:rsidR="002F21C5" w:rsidRPr="007054E3"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 xml:space="preserve">Konferans Salonlarında ve/veya fuaye alanında yüksek sesle konuşmak, yüksek sesli müzik yapmak ve diğer firmaları ve/veya personellerini rahatsız edecek davranışlarda bulunmak yasaktır. </w:t>
      </w:r>
    </w:p>
    <w:p w14:paraId="51B78257" w14:textId="10ABA800" w:rsidR="002F21C5" w:rsidRPr="007054E3"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Konferans salonlarına ve/veya fuaye alanına ürün girişleri Yönetici Şirketin iznine tabidir. Ürün-malzemelerin konferans salonu ve fuaye alanına taşınmasında Teknopark Ankara personelinin yönlendirmeleri dikkate alınmalıdır. Yönetici Şirketin bilgisi dışında konferans salonlarına ürün-malzeme sokulması ve sergilenmesi yasaktır.</w:t>
      </w:r>
    </w:p>
    <w:p w14:paraId="081028EA" w14:textId="60B7243F" w:rsidR="002F21C5" w:rsidRPr="007054E3"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Konferans salonlarında Yönetici Şirket tarafından herhangi bir yemek servisi hizmeti verilmemektedir. Kullanıcı yemek servisi için dışarıdan hizmet alabilir. Ancak, kullanıcı yemek servisi hizmeti aldığı şirket bilgilerini, hizmet verecek personel bilgilerini ve Teknopark Ankara yerleşkesine girecek araç plakasını Yönetici Şirketle paylaşması gerekir.</w:t>
      </w:r>
    </w:p>
    <w:p w14:paraId="6EFE3C4C" w14:textId="33FB1D54" w:rsidR="002F21C5" w:rsidRPr="007054E3"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 xml:space="preserve">Konferans salonlarında düzenlenecek yemekli etkinlikte ihtiyaç duyulması ve kullanıcının talep etmesi halinde B </w:t>
      </w:r>
      <w:proofErr w:type="gramStart"/>
      <w:r w:rsidRPr="007054E3">
        <w:rPr>
          <w:rFonts w:ascii="Times New Roman" w:hAnsi="Times New Roman" w:cs="Times New Roman"/>
        </w:rPr>
        <w:t>Blok -</w:t>
      </w:r>
      <w:proofErr w:type="gramEnd"/>
      <w:r w:rsidRPr="007054E3">
        <w:rPr>
          <w:rFonts w:ascii="Times New Roman" w:hAnsi="Times New Roman" w:cs="Times New Roman"/>
        </w:rPr>
        <w:t xml:space="preserve">1. Katta bulunan mutfak ücreti karşılığında kullanılabilir. </w:t>
      </w:r>
    </w:p>
    <w:p w14:paraId="2A5C1EA8" w14:textId="629E525B" w:rsidR="002F21C5" w:rsidRPr="007054E3"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Konferans salonu kullanımında, konferans salonu rezervasyon formunda talep edilmiş olması şartıyla çay, kahve, ikramlık hizmeti Yönetici Şirketin görevlendirdiği personel tarafından verilebilir. Kullanıcı, Yönetici Şirketten izin almak koşuluyla bu hizmetleri dışından alabilir. Dışardan hizmet alımında, hizmet alınan şirket bilgilerini, hizmet verecek personel bilgilerini ve varsa Teknopark Ankara yerleşkesine girecek araç plakasını Yönetici Şirketle paylaşması gerekir.</w:t>
      </w:r>
    </w:p>
    <w:p w14:paraId="5B119DAA" w14:textId="6A510ED0" w:rsidR="00FB19AE" w:rsidRDefault="002F21C5" w:rsidP="002F21C5">
      <w:pPr>
        <w:pStyle w:val="ListeParagraf"/>
        <w:numPr>
          <w:ilvl w:val="0"/>
          <w:numId w:val="2"/>
        </w:numPr>
        <w:jc w:val="both"/>
        <w:rPr>
          <w:rFonts w:ascii="Times New Roman" w:hAnsi="Times New Roman" w:cs="Times New Roman"/>
        </w:rPr>
      </w:pPr>
      <w:r w:rsidRPr="007054E3">
        <w:rPr>
          <w:rFonts w:ascii="Times New Roman" w:hAnsi="Times New Roman" w:cs="Times New Roman"/>
        </w:rPr>
        <w:t>Toplantı salonlarında bulunan projeksiyon cihazı girişimci tarafından kullanılabilir, fakat başka bir alana taşınamaz.</w:t>
      </w:r>
    </w:p>
    <w:p w14:paraId="043B491A" w14:textId="77777777" w:rsidR="0021261E" w:rsidRPr="0021261E" w:rsidRDefault="0021261E" w:rsidP="0021261E"/>
    <w:p w14:paraId="760D6ED5" w14:textId="77777777" w:rsidR="0021261E" w:rsidRPr="0021261E" w:rsidRDefault="0021261E" w:rsidP="0021261E"/>
    <w:p w14:paraId="5251604A" w14:textId="77777777" w:rsidR="0021261E" w:rsidRPr="0021261E" w:rsidRDefault="0021261E" w:rsidP="0021261E"/>
    <w:p w14:paraId="56619953" w14:textId="7943F9D0" w:rsidR="0021261E" w:rsidRPr="0021261E" w:rsidRDefault="0021261E" w:rsidP="0021261E">
      <w:pPr>
        <w:tabs>
          <w:tab w:val="left" w:pos="1371"/>
        </w:tabs>
      </w:pPr>
      <w:r>
        <w:tab/>
      </w:r>
    </w:p>
    <w:sectPr w:rsidR="0021261E" w:rsidRPr="0021261E" w:rsidSect="00052EAA">
      <w:headerReference w:type="default" r:id="rId7"/>
      <w:footerReference w:type="default" r:id="rId8"/>
      <w:pgSz w:w="11906" w:h="16838"/>
      <w:pgMar w:top="1417" w:right="1417" w:bottom="1417" w:left="1417"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D279" w14:textId="77777777" w:rsidR="00052EAA" w:rsidRDefault="00052EAA" w:rsidP="002F21C5">
      <w:pPr>
        <w:spacing w:after="0" w:line="240" w:lineRule="auto"/>
      </w:pPr>
      <w:r>
        <w:separator/>
      </w:r>
    </w:p>
  </w:endnote>
  <w:endnote w:type="continuationSeparator" w:id="0">
    <w:p w14:paraId="39FDADAF" w14:textId="77777777" w:rsidR="00052EAA" w:rsidRDefault="00052EAA" w:rsidP="002F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2265"/>
      <w:gridCol w:w="2265"/>
      <w:gridCol w:w="2266"/>
      <w:gridCol w:w="2266"/>
    </w:tblGrid>
    <w:tr w:rsidR="0021261E" w:rsidRPr="006C492F" w14:paraId="3D140E66" w14:textId="77777777" w:rsidTr="00EB079D">
      <w:trPr>
        <w:trHeight w:val="227"/>
      </w:trPr>
      <w:tc>
        <w:tcPr>
          <w:tcW w:w="2265" w:type="dxa"/>
        </w:tcPr>
        <w:p w14:paraId="33D22C2A" w14:textId="77777777" w:rsidR="0021261E" w:rsidRPr="006C492F" w:rsidRDefault="0021261E" w:rsidP="0021261E">
          <w:pPr>
            <w:pStyle w:val="AltBilgi"/>
            <w:rPr>
              <w:sz w:val="20"/>
              <w:szCs w:val="20"/>
            </w:rPr>
          </w:pPr>
          <w:r w:rsidRPr="006C492F">
            <w:rPr>
              <w:rFonts w:ascii="Times New Roman" w:eastAsia="Times New Roman" w:hAnsi="Times New Roman" w:cs="Times New Roman"/>
              <w:b/>
              <w:sz w:val="20"/>
              <w:szCs w:val="20"/>
            </w:rPr>
            <w:t>Sayfa No</w:t>
          </w:r>
        </w:p>
      </w:tc>
      <w:tc>
        <w:tcPr>
          <w:tcW w:w="2265" w:type="dxa"/>
        </w:tcPr>
        <w:p w14:paraId="20F51735" w14:textId="50C35337" w:rsidR="0021261E" w:rsidRPr="006C492F" w:rsidRDefault="0021261E" w:rsidP="0021261E">
          <w:pPr>
            <w:pStyle w:val="AltBilgi"/>
            <w:rPr>
              <w:sz w:val="20"/>
              <w:szCs w:val="20"/>
            </w:rPr>
          </w:pPr>
          <w:r w:rsidRPr="006C492F">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1</w:t>
          </w:r>
        </w:p>
      </w:tc>
      <w:tc>
        <w:tcPr>
          <w:tcW w:w="2266" w:type="dxa"/>
        </w:tcPr>
        <w:p w14:paraId="75881ED2" w14:textId="77777777" w:rsidR="0021261E" w:rsidRPr="006C492F" w:rsidRDefault="0021261E" w:rsidP="0021261E">
          <w:pPr>
            <w:pStyle w:val="AltBilgi"/>
            <w:jc w:val="center"/>
            <w:rPr>
              <w:sz w:val="20"/>
              <w:szCs w:val="20"/>
            </w:rPr>
          </w:pPr>
          <w:r w:rsidRPr="006C492F">
            <w:rPr>
              <w:rFonts w:ascii="Times New Roman" w:eastAsia="Times New Roman" w:hAnsi="Times New Roman" w:cs="Times New Roman"/>
              <w:b/>
              <w:sz w:val="20"/>
              <w:szCs w:val="20"/>
            </w:rPr>
            <w:t>Hazırlayan</w:t>
          </w:r>
        </w:p>
      </w:tc>
      <w:tc>
        <w:tcPr>
          <w:tcW w:w="2266" w:type="dxa"/>
        </w:tcPr>
        <w:p w14:paraId="021364F0" w14:textId="77777777" w:rsidR="0021261E" w:rsidRPr="006C492F" w:rsidRDefault="0021261E" w:rsidP="0021261E">
          <w:pPr>
            <w:pStyle w:val="AltBilgi"/>
            <w:jc w:val="center"/>
            <w:rPr>
              <w:sz w:val="20"/>
              <w:szCs w:val="20"/>
            </w:rPr>
          </w:pPr>
          <w:r w:rsidRPr="006C492F">
            <w:rPr>
              <w:rFonts w:ascii="Times New Roman" w:eastAsia="Times New Roman" w:hAnsi="Times New Roman" w:cs="Times New Roman"/>
              <w:b/>
              <w:sz w:val="20"/>
              <w:szCs w:val="20"/>
            </w:rPr>
            <w:t>Onaylayan</w:t>
          </w:r>
        </w:p>
      </w:tc>
    </w:tr>
    <w:tr w:rsidR="0021261E" w:rsidRPr="006C492F" w14:paraId="31D6A0FE" w14:textId="77777777" w:rsidTr="00EB079D">
      <w:trPr>
        <w:trHeight w:val="227"/>
      </w:trPr>
      <w:tc>
        <w:tcPr>
          <w:tcW w:w="2265" w:type="dxa"/>
        </w:tcPr>
        <w:p w14:paraId="45793646" w14:textId="77777777" w:rsidR="0021261E" w:rsidRPr="006C492F" w:rsidRDefault="0021261E" w:rsidP="0021261E">
          <w:pPr>
            <w:pStyle w:val="AltBilgi"/>
            <w:rPr>
              <w:sz w:val="20"/>
              <w:szCs w:val="20"/>
            </w:rPr>
          </w:pPr>
          <w:r w:rsidRPr="006C492F">
            <w:rPr>
              <w:rFonts w:ascii="Times New Roman" w:eastAsia="Times New Roman" w:hAnsi="Times New Roman" w:cs="Times New Roman"/>
              <w:b/>
              <w:sz w:val="20"/>
              <w:szCs w:val="20"/>
            </w:rPr>
            <w:t>Yayın Tarihi</w:t>
          </w:r>
        </w:p>
      </w:tc>
      <w:tc>
        <w:tcPr>
          <w:tcW w:w="2265" w:type="dxa"/>
        </w:tcPr>
        <w:p w14:paraId="5623F664" w14:textId="5B18A9AB" w:rsidR="0021261E" w:rsidRPr="006C492F" w:rsidRDefault="00A3322C" w:rsidP="0021261E">
          <w:pPr>
            <w:pStyle w:val="AltBilgi"/>
            <w:rPr>
              <w:sz w:val="20"/>
              <w:szCs w:val="20"/>
            </w:rPr>
          </w:pPr>
          <w:r>
            <w:rPr>
              <w:rFonts w:ascii="Times New Roman" w:eastAsia="Times New Roman" w:hAnsi="Times New Roman" w:cs="Times New Roman"/>
              <w:b/>
              <w:sz w:val="20"/>
              <w:szCs w:val="20"/>
            </w:rPr>
            <w:t>31.01.2024</w:t>
          </w:r>
        </w:p>
      </w:tc>
      <w:tc>
        <w:tcPr>
          <w:tcW w:w="2266" w:type="dxa"/>
          <w:vMerge w:val="restart"/>
        </w:tcPr>
        <w:p w14:paraId="3CB047CD" w14:textId="77777777" w:rsidR="0021261E" w:rsidRPr="006C492F" w:rsidRDefault="0021261E" w:rsidP="0021261E">
          <w:pPr>
            <w:pStyle w:val="AltBilgi"/>
            <w:rPr>
              <w:sz w:val="20"/>
              <w:szCs w:val="20"/>
            </w:rPr>
          </w:pPr>
        </w:p>
      </w:tc>
      <w:tc>
        <w:tcPr>
          <w:tcW w:w="2266" w:type="dxa"/>
          <w:vMerge w:val="restart"/>
        </w:tcPr>
        <w:p w14:paraId="51BF4569" w14:textId="77777777" w:rsidR="0021261E" w:rsidRPr="006C492F" w:rsidRDefault="0021261E" w:rsidP="0021261E">
          <w:pPr>
            <w:pStyle w:val="AltBilgi"/>
            <w:rPr>
              <w:sz w:val="20"/>
              <w:szCs w:val="20"/>
            </w:rPr>
          </w:pPr>
        </w:p>
      </w:tc>
    </w:tr>
    <w:tr w:rsidR="0021261E" w:rsidRPr="006C492F" w14:paraId="7F08B3DC" w14:textId="77777777" w:rsidTr="00EB079D">
      <w:trPr>
        <w:trHeight w:val="227"/>
      </w:trPr>
      <w:tc>
        <w:tcPr>
          <w:tcW w:w="2265" w:type="dxa"/>
        </w:tcPr>
        <w:p w14:paraId="11EAED91" w14:textId="77777777" w:rsidR="0021261E" w:rsidRPr="006C492F" w:rsidRDefault="0021261E" w:rsidP="0021261E">
          <w:pPr>
            <w:pStyle w:val="AltBilgi"/>
            <w:rPr>
              <w:sz w:val="20"/>
              <w:szCs w:val="20"/>
            </w:rPr>
          </w:pPr>
          <w:r w:rsidRPr="006C492F">
            <w:rPr>
              <w:rFonts w:ascii="Times New Roman" w:eastAsia="Times New Roman" w:hAnsi="Times New Roman" w:cs="Times New Roman"/>
              <w:b/>
              <w:sz w:val="20"/>
              <w:szCs w:val="20"/>
            </w:rPr>
            <w:t>Revizyon Tarihi</w:t>
          </w:r>
        </w:p>
      </w:tc>
      <w:tc>
        <w:tcPr>
          <w:tcW w:w="2265" w:type="dxa"/>
        </w:tcPr>
        <w:p w14:paraId="7CA89D7A" w14:textId="77777777" w:rsidR="0021261E" w:rsidRPr="006C492F" w:rsidRDefault="0021261E" w:rsidP="0021261E">
          <w:pPr>
            <w:pStyle w:val="AltBilgi"/>
            <w:rPr>
              <w:sz w:val="20"/>
              <w:szCs w:val="20"/>
            </w:rPr>
          </w:pPr>
          <w:r w:rsidRPr="006C492F">
            <w:rPr>
              <w:rFonts w:ascii="Times New Roman" w:eastAsia="Times New Roman" w:hAnsi="Times New Roman" w:cs="Times New Roman"/>
              <w:b/>
              <w:sz w:val="20"/>
              <w:szCs w:val="20"/>
            </w:rPr>
            <w:t>--</w:t>
          </w:r>
        </w:p>
      </w:tc>
      <w:tc>
        <w:tcPr>
          <w:tcW w:w="2266" w:type="dxa"/>
          <w:vMerge/>
        </w:tcPr>
        <w:p w14:paraId="6BAE4E4C" w14:textId="77777777" w:rsidR="0021261E" w:rsidRPr="006C492F" w:rsidRDefault="0021261E" w:rsidP="0021261E">
          <w:pPr>
            <w:pStyle w:val="AltBilgi"/>
            <w:rPr>
              <w:sz w:val="20"/>
              <w:szCs w:val="20"/>
            </w:rPr>
          </w:pPr>
        </w:p>
      </w:tc>
      <w:tc>
        <w:tcPr>
          <w:tcW w:w="2266" w:type="dxa"/>
          <w:vMerge/>
        </w:tcPr>
        <w:p w14:paraId="18FEB8EA" w14:textId="77777777" w:rsidR="0021261E" w:rsidRPr="006C492F" w:rsidRDefault="0021261E" w:rsidP="0021261E">
          <w:pPr>
            <w:pStyle w:val="AltBilgi"/>
            <w:rPr>
              <w:sz w:val="20"/>
              <w:szCs w:val="20"/>
            </w:rPr>
          </w:pPr>
        </w:p>
      </w:tc>
    </w:tr>
    <w:tr w:rsidR="0021261E" w:rsidRPr="006C492F" w14:paraId="66C21A7B" w14:textId="77777777" w:rsidTr="00EB079D">
      <w:trPr>
        <w:trHeight w:val="227"/>
      </w:trPr>
      <w:tc>
        <w:tcPr>
          <w:tcW w:w="2265" w:type="dxa"/>
        </w:tcPr>
        <w:p w14:paraId="0BE8EA5F" w14:textId="77777777" w:rsidR="0021261E" w:rsidRPr="006C492F" w:rsidRDefault="0021261E" w:rsidP="0021261E">
          <w:pPr>
            <w:pStyle w:val="AltBilgi"/>
            <w:rPr>
              <w:sz w:val="20"/>
              <w:szCs w:val="20"/>
            </w:rPr>
          </w:pPr>
          <w:r w:rsidRPr="006C492F">
            <w:rPr>
              <w:rFonts w:ascii="Times New Roman" w:eastAsia="Times New Roman" w:hAnsi="Times New Roman" w:cs="Times New Roman"/>
              <w:b/>
              <w:sz w:val="20"/>
              <w:szCs w:val="20"/>
            </w:rPr>
            <w:t>Revizyon No</w:t>
          </w:r>
        </w:p>
      </w:tc>
      <w:tc>
        <w:tcPr>
          <w:tcW w:w="2265" w:type="dxa"/>
        </w:tcPr>
        <w:p w14:paraId="01740446" w14:textId="77777777" w:rsidR="0021261E" w:rsidRPr="006C492F" w:rsidRDefault="0021261E" w:rsidP="0021261E">
          <w:pPr>
            <w:pStyle w:val="AltBilgi"/>
            <w:rPr>
              <w:sz w:val="20"/>
              <w:szCs w:val="20"/>
            </w:rPr>
          </w:pPr>
          <w:r w:rsidRPr="006C492F">
            <w:rPr>
              <w:rFonts w:ascii="Times New Roman" w:eastAsia="Times New Roman" w:hAnsi="Times New Roman" w:cs="Times New Roman"/>
              <w:b/>
              <w:sz w:val="20"/>
              <w:szCs w:val="20"/>
            </w:rPr>
            <w:t>00</w:t>
          </w:r>
        </w:p>
      </w:tc>
      <w:tc>
        <w:tcPr>
          <w:tcW w:w="2266" w:type="dxa"/>
          <w:vMerge/>
        </w:tcPr>
        <w:p w14:paraId="5AD4A906" w14:textId="77777777" w:rsidR="0021261E" w:rsidRPr="006C492F" w:rsidRDefault="0021261E" w:rsidP="0021261E">
          <w:pPr>
            <w:pStyle w:val="AltBilgi"/>
            <w:rPr>
              <w:sz w:val="20"/>
              <w:szCs w:val="20"/>
            </w:rPr>
          </w:pPr>
        </w:p>
      </w:tc>
      <w:tc>
        <w:tcPr>
          <w:tcW w:w="2266" w:type="dxa"/>
          <w:vMerge/>
        </w:tcPr>
        <w:p w14:paraId="2B6542D8" w14:textId="77777777" w:rsidR="0021261E" w:rsidRPr="006C492F" w:rsidRDefault="0021261E" w:rsidP="0021261E">
          <w:pPr>
            <w:pStyle w:val="AltBilgi"/>
            <w:rPr>
              <w:sz w:val="20"/>
              <w:szCs w:val="20"/>
            </w:rPr>
          </w:pPr>
        </w:p>
      </w:tc>
    </w:tr>
    <w:tr w:rsidR="0021261E" w:rsidRPr="006C492F" w14:paraId="7BEBD6AB" w14:textId="77777777" w:rsidTr="00EB079D">
      <w:trPr>
        <w:trHeight w:val="227"/>
      </w:trPr>
      <w:tc>
        <w:tcPr>
          <w:tcW w:w="9062" w:type="dxa"/>
          <w:gridSpan w:val="4"/>
          <w:shd w:val="clear" w:color="auto" w:fill="000000" w:themeFill="text1"/>
        </w:tcPr>
        <w:p w14:paraId="3F7EBB7F" w14:textId="77777777" w:rsidR="0021261E" w:rsidRPr="006C492F" w:rsidRDefault="0021261E" w:rsidP="0021261E">
          <w:pPr>
            <w:pStyle w:val="AltBilgi"/>
            <w:jc w:val="center"/>
            <w:rPr>
              <w:sz w:val="20"/>
              <w:szCs w:val="20"/>
            </w:rPr>
          </w:pPr>
          <w:r w:rsidRPr="006C492F">
            <w:rPr>
              <w:rFonts w:ascii="Times New Roman" w:eastAsia="Times New Roman" w:hAnsi="Times New Roman" w:cs="Times New Roman"/>
              <w:b/>
              <w:color w:val="FFFFFF"/>
              <w:sz w:val="20"/>
              <w:szCs w:val="20"/>
            </w:rPr>
            <w:t>Elektronik Nüshadan Çıktı Alındığında Kontrolsüz Doküman Olur</w:t>
          </w:r>
        </w:p>
      </w:tc>
    </w:tr>
  </w:tbl>
  <w:p w14:paraId="5BDFA20E" w14:textId="77777777" w:rsidR="0021261E" w:rsidRDefault="0021261E" w:rsidP="002126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B7F6" w14:textId="77777777" w:rsidR="00052EAA" w:rsidRDefault="00052EAA" w:rsidP="002F21C5">
      <w:pPr>
        <w:spacing w:after="0" w:line="240" w:lineRule="auto"/>
      </w:pPr>
      <w:r>
        <w:separator/>
      </w:r>
    </w:p>
  </w:footnote>
  <w:footnote w:type="continuationSeparator" w:id="0">
    <w:p w14:paraId="1B8C74B0" w14:textId="77777777" w:rsidR="00052EAA" w:rsidRDefault="00052EAA" w:rsidP="002F2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2122"/>
      <w:gridCol w:w="4961"/>
      <w:gridCol w:w="1979"/>
    </w:tblGrid>
    <w:tr w:rsidR="002F21C5" w:rsidRPr="007054E3" w14:paraId="2C4D5069" w14:textId="77777777" w:rsidTr="002F21C5">
      <w:trPr>
        <w:trHeight w:val="567"/>
      </w:trPr>
      <w:tc>
        <w:tcPr>
          <w:tcW w:w="2122" w:type="dxa"/>
          <w:vAlign w:val="center"/>
        </w:tcPr>
        <w:p w14:paraId="53E24AD5" w14:textId="240CB85B" w:rsidR="002F21C5" w:rsidRPr="007054E3" w:rsidRDefault="002F21C5" w:rsidP="002F21C5">
          <w:pPr>
            <w:pStyle w:val="stBilgi"/>
            <w:jc w:val="center"/>
            <w:rPr>
              <w:sz w:val="20"/>
              <w:szCs w:val="20"/>
            </w:rPr>
          </w:pPr>
          <w:r w:rsidRPr="007054E3">
            <w:rPr>
              <w:rFonts w:ascii="Times New Roman" w:eastAsia="Times New Roman" w:hAnsi="Times New Roman" w:cs="Times New Roman"/>
              <w:noProof/>
              <w:color w:val="000000"/>
            </w:rPr>
            <w:drawing>
              <wp:inline distT="0" distB="0" distL="0" distR="0" wp14:anchorId="170938CD" wp14:editId="57D4DDB9">
                <wp:extent cx="1181100" cy="241300"/>
                <wp:effectExtent l="0" t="0" r="0" b="0"/>
                <wp:docPr id="7819196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241300"/>
                        </a:xfrm>
                        <a:prstGeom prst="rect">
                          <a:avLst/>
                        </a:prstGeom>
                        <a:ln/>
                      </pic:spPr>
                    </pic:pic>
                  </a:graphicData>
                </a:graphic>
              </wp:inline>
            </w:drawing>
          </w:r>
        </w:p>
      </w:tc>
      <w:tc>
        <w:tcPr>
          <w:tcW w:w="4961" w:type="dxa"/>
          <w:vAlign w:val="center"/>
        </w:tcPr>
        <w:p w14:paraId="2B5DAC51" w14:textId="18CFC44A" w:rsidR="002F21C5" w:rsidRPr="007054E3" w:rsidRDefault="002F21C5" w:rsidP="002F21C5">
          <w:pPr>
            <w:pStyle w:val="stBilgi"/>
            <w:jc w:val="center"/>
            <w:rPr>
              <w:sz w:val="20"/>
              <w:szCs w:val="20"/>
            </w:rPr>
          </w:pPr>
          <w:r w:rsidRPr="007054E3">
            <w:rPr>
              <w:rFonts w:ascii="Times New Roman" w:eastAsia="Times New Roman" w:hAnsi="Times New Roman" w:cs="Times New Roman"/>
              <w:b/>
              <w:color w:val="000000"/>
            </w:rPr>
            <w:t>TOPLANTI VE KONFERANS SALONLARI KULLANIM TALİMATLARI</w:t>
          </w:r>
        </w:p>
      </w:tc>
      <w:tc>
        <w:tcPr>
          <w:tcW w:w="1979" w:type="dxa"/>
          <w:vAlign w:val="center"/>
        </w:tcPr>
        <w:p w14:paraId="43A85839" w14:textId="125DC748" w:rsidR="002F21C5" w:rsidRPr="007054E3" w:rsidRDefault="002F21C5" w:rsidP="002F21C5">
          <w:pPr>
            <w:pStyle w:val="stBilgi"/>
            <w:jc w:val="center"/>
            <w:rPr>
              <w:sz w:val="20"/>
              <w:szCs w:val="20"/>
            </w:rPr>
          </w:pPr>
          <w:r w:rsidRPr="007054E3">
            <w:rPr>
              <w:rFonts w:ascii="Times New Roman" w:eastAsia="Times New Roman" w:hAnsi="Times New Roman" w:cs="Times New Roman"/>
              <w:b/>
              <w:color w:val="000000"/>
            </w:rPr>
            <w:t>TLM.02</w:t>
          </w:r>
        </w:p>
      </w:tc>
    </w:tr>
  </w:tbl>
  <w:p w14:paraId="25D98657" w14:textId="77777777" w:rsidR="002F21C5" w:rsidRPr="007054E3" w:rsidRDefault="002F21C5">
    <w:pPr>
      <w:pStyle w:val="stBilgi"/>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3155D"/>
    <w:multiLevelType w:val="hybridMultilevel"/>
    <w:tmpl w:val="12300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3A1E69"/>
    <w:multiLevelType w:val="hybridMultilevel"/>
    <w:tmpl w:val="C6F430C6"/>
    <w:lvl w:ilvl="0" w:tplc="9126EE68">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78502117">
    <w:abstractNumId w:val="0"/>
  </w:num>
  <w:num w:numId="2" w16cid:durableId="933168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C4"/>
    <w:rsid w:val="00052EAA"/>
    <w:rsid w:val="0009574E"/>
    <w:rsid w:val="0021261E"/>
    <w:rsid w:val="002F21C5"/>
    <w:rsid w:val="003B4133"/>
    <w:rsid w:val="00691EE1"/>
    <w:rsid w:val="007054E3"/>
    <w:rsid w:val="00785FDF"/>
    <w:rsid w:val="007E242D"/>
    <w:rsid w:val="00854765"/>
    <w:rsid w:val="00910444"/>
    <w:rsid w:val="00A3322C"/>
    <w:rsid w:val="00A853E8"/>
    <w:rsid w:val="00B56AA9"/>
    <w:rsid w:val="00D73FFA"/>
    <w:rsid w:val="00D950C4"/>
    <w:rsid w:val="00E07001"/>
    <w:rsid w:val="00E24784"/>
    <w:rsid w:val="00E827BD"/>
    <w:rsid w:val="00FB1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29992"/>
  <w15:chartTrackingRefBased/>
  <w15:docId w15:val="{7EDF41C3-FA30-4A54-BF01-FBE256BF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21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21C5"/>
  </w:style>
  <w:style w:type="paragraph" w:styleId="AltBilgi">
    <w:name w:val="footer"/>
    <w:basedOn w:val="Normal"/>
    <w:link w:val="AltBilgiChar"/>
    <w:uiPriority w:val="99"/>
    <w:unhideWhenUsed/>
    <w:rsid w:val="002F21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21C5"/>
  </w:style>
  <w:style w:type="table" w:styleId="TabloKlavuzu">
    <w:name w:val="Table Grid"/>
    <w:basedOn w:val="NormalTablo"/>
    <w:uiPriority w:val="39"/>
    <w:rsid w:val="002F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F2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Gözütok</dc:creator>
  <cp:keywords/>
  <dc:description/>
  <cp:lastModifiedBy>Kazım Gözütok</cp:lastModifiedBy>
  <cp:revision>5</cp:revision>
  <dcterms:created xsi:type="dcterms:W3CDTF">2024-02-01T09:16:00Z</dcterms:created>
  <dcterms:modified xsi:type="dcterms:W3CDTF">2024-02-21T10:57:00Z</dcterms:modified>
</cp:coreProperties>
</file>